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7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11"/>
        <w:gridCol w:w="113"/>
        <w:gridCol w:w="8551"/>
      </w:tblGrid>
      <w:tr w:rsidR="00BF4716">
        <w:trPr>
          <w:trHeight w:val="623"/>
        </w:trPr>
        <w:tc>
          <w:tcPr>
            <w:tcW w:w="911" w:type="dxa"/>
            <w:tcBorders>
              <w:top w:val="single" w:sz="11" w:space="0" w:color="1B1760"/>
              <w:left w:val="single" w:sz="11" w:space="0" w:color="1B1760"/>
              <w:bottom w:val="single" w:sz="11" w:space="0" w:color="1B1760"/>
              <w:right w:val="single" w:sz="11" w:space="0" w:color="1B1760"/>
            </w:tcBorders>
            <w:shd w:val="clear" w:color="auto" w:fill="342DBE"/>
            <w:vAlign w:val="center"/>
          </w:tcPr>
          <w:p w:rsidR="00BF4716" w:rsidRPr="008038FD" w:rsidRDefault="008038FD" w:rsidP="008038FD">
            <w:pPr>
              <w:pStyle w:val="a3"/>
              <w:wordWrap/>
              <w:ind w:left="466" w:hanging="466"/>
              <w:jc w:val="center"/>
              <w:rPr>
                <w:rFonts w:ascii="HY견고딕" w:eastAsia="HY견고딕" w:hint="eastAsia"/>
                <w:sz w:val="32"/>
                <w:szCs w:val="32"/>
              </w:rPr>
            </w:pPr>
            <w:r w:rsidRPr="008038FD">
              <w:rPr>
                <w:rFonts w:ascii="HY견고딕" w:eastAsia="HY견고딕" w:hint="eastAsia"/>
                <w:sz w:val="32"/>
                <w:szCs w:val="32"/>
              </w:rPr>
              <w:t>붙임</w:t>
            </w:r>
          </w:p>
        </w:tc>
        <w:tc>
          <w:tcPr>
            <w:tcW w:w="113" w:type="dxa"/>
            <w:tcBorders>
              <w:top w:val="none" w:sz="11" w:space="0" w:color="1B1760"/>
              <w:left w:val="single" w:sz="11" w:space="0" w:color="1B1760"/>
              <w:bottom w:val="none" w:sz="3" w:space="0" w:color="000000"/>
              <w:right w:val="none" w:sz="3" w:space="0" w:color="000000"/>
            </w:tcBorders>
            <w:vAlign w:val="center"/>
          </w:tcPr>
          <w:p w:rsidR="00BF4716" w:rsidRDefault="00BF4716">
            <w:pPr>
              <w:pStyle w:val="a3"/>
              <w:rPr>
                <w:rFonts w:ascii="HY헤드라인M" w:eastAsia="HY헤드라인M"/>
                <w:sz w:val="32"/>
              </w:rPr>
            </w:pPr>
          </w:p>
        </w:tc>
        <w:tc>
          <w:tcPr>
            <w:tcW w:w="8552" w:type="dxa"/>
            <w:tcBorders>
              <w:top w:val="single" w:sz="11" w:space="0" w:color="1B1760"/>
              <w:left w:val="none" w:sz="3" w:space="0" w:color="000000"/>
              <w:bottom w:val="single" w:sz="11" w:space="0" w:color="1B1760"/>
              <w:right w:val="none" w:sz="3" w:space="0" w:color="000000"/>
            </w:tcBorders>
            <w:vAlign w:val="center"/>
          </w:tcPr>
          <w:p w:rsidR="00BF4716" w:rsidRDefault="005F011B">
            <w:pPr>
              <w:pStyle w:val="a3"/>
              <w:spacing w:line="312" w:lineRule="auto"/>
            </w:pPr>
            <w:r>
              <w:rPr>
                <w:rFonts w:ascii="HY헤드라인M"/>
                <w:sz w:val="32"/>
              </w:rPr>
              <w:t xml:space="preserve"> Proposed Amendment to Telecommunications </w:t>
            </w:r>
          </w:p>
          <w:p w:rsidR="00BF4716" w:rsidRDefault="005F011B">
            <w:pPr>
              <w:pStyle w:val="a3"/>
              <w:spacing w:line="312" w:lineRule="auto"/>
            </w:pPr>
            <w:r>
              <w:rPr>
                <w:rFonts w:ascii="HY헤드라인M"/>
                <w:sz w:val="32"/>
              </w:rPr>
              <w:t xml:space="preserve"> Business Act (Regarding In-App Payment) </w:t>
            </w:r>
          </w:p>
        </w:tc>
      </w:tr>
    </w:tbl>
    <w:p w:rsidR="00BF4716" w:rsidRDefault="00BF4716">
      <w:pPr>
        <w:pStyle w:val="a3"/>
        <w:spacing w:line="396" w:lineRule="auto"/>
      </w:pPr>
    </w:p>
    <w:p w:rsidR="00BF4716" w:rsidRDefault="00BF4716">
      <w:pPr>
        <w:pStyle w:val="a3"/>
        <w:spacing w:line="396" w:lineRule="auto"/>
        <w:rPr>
          <w:rFonts w:ascii="HCI Poppy" w:eastAsia="휴먼명조"/>
          <w:spacing w:val="-10"/>
          <w:sz w:val="40"/>
        </w:rPr>
      </w:pPr>
      <w:bookmarkStart w:id="0" w:name="_GoBack"/>
      <w:bookmarkEnd w:id="0"/>
    </w:p>
    <w:p w:rsidR="00BF4716" w:rsidRDefault="005F011B">
      <w:pPr>
        <w:pStyle w:val="GEN1"/>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pPr>
      <w:r>
        <w:t xml:space="preserve">Proposed Amendment to Telecommunications Business Act </w:t>
      </w:r>
    </w:p>
    <w:p w:rsidR="00BF4716" w:rsidRDefault="00BF4716">
      <w:pPr>
        <w:pStyle w:val="GEN"/>
      </w:pPr>
    </w:p>
    <w:p w:rsidR="00BF4716" w:rsidRDefault="005F011B">
      <w:pPr>
        <w:pStyle w:val="ae"/>
      </w:pPr>
      <w:r>
        <w:rPr>
          <w:rFonts w:ascii="Times New Roman"/>
        </w:rPr>
        <w:t>Part of the Telecommunications Business Act is amended as follows:</w:t>
      </w:r>
    </w:p>
    <w:p w:rsidR="00BF4716" w:rsidRDefault="005F011B">
      <w:pPr>
        <w:pStyle w:val="GEN"/>
        <w:spacing w:line="384" w:lineRule="auto"/>
      </w:pPr>
      <w:r>
        <w:rPr>
          <w:rFonts w:ascii="Times New Roman"/>
        </w:rPr>
        <w:t>Article 22-9 is newly inserted as follows:</w:t>
      </w:r>
    </w:p>
    <w:p w:rsidR="00BF4716" w:rsidRDefault="005F011B">
      <w:pPr>
        <w:wordWrap w:val="0"/>
        <w:spacing w:line="384" w:lineRule="auto"/>
        <w:jc w:val="both"/>
      </w:pPr>
      <w:r>
        <w:rPr>
          <w:rFonts w:ascii="Times New Roman"/>
          <w:sz w:val="28"/>
        </w:rPr>
        <w:t>Article 22-9 (Obligations of and Fact-Finding Surveys on App Market Business Operators) (1) An App market business operator shall prevent damage to users and protect their rights and interests, such as through specifying matters regarding the payment for and refund on mobile content, etc. in the terms and conditions of use, as prescribed by Presidential Decree.</w:t>
      </w:r>
    </w:p>
    <w:p w:rsidR="00BF4716" w:rsidRDefault="005F011B">
      <w:pPr>
        <w:wordWrap w:val="0"/>
        <w:spacing w:line="384" w:lineRule="auto"/>
        <w:ind w:left="266" w:hanging="266"/>
        <w:jc w:val="both"/>
      </w:pPr>
      <w:r>
        <w:rPr>
          <w:rFonts w:ascii="Times New Roman"/>
          <w:sz w:val="28"/>
        </w:rPr>
        <w:t xml:space="preserve">  (2) The Minister of Science and ICT or the Korea Communications Commission may conduct a fact-finding survey on the App market operation of an App market business operator, if necessary for protection, etc. of a person who provides mobile content, etc. to register and sell them (hereinafter referred to as </w:t>
      </w:r>
      <w:r>
        <w:rPr>
          <w:rFonts w:ascii="Times New Roman"/>
          <w:sz w:val="28"/>
        </w:rPr>
        <w:t>“</w:t>
      </w:r>
      <w:r>
        <w:rPr>
          <w:rFonts w:ascii="Times New Roman"/>
          <w:sz w:val="28"/>
        </w:rPr>
        <w:t>business operator providing mobile content, etc.</w:t>
      </w:r>
      <w:r>
        <w:rPr>
          <w:rFonts w:ascii="Times New Roman"/>
          <w:sz w:val="28"/>
        </w:rPr>
        <w:t>”</w:t>
      </w:r>
      <w:r>
        <w:rPr>
          <w:rFonts w:ascii="Times New Roman"/>
          <w:sz w:val="28"/>
        </w:rPr>
        <w:t xml:space="preserve">) in a space for brokering the transactions of mobile content, etc. (hereinafter referred to as </w:t>
      </w:r>
      <w:r>
        <w:rPr>
          <w:rFonts w:ascii="Times New Roman"/>
          <w:sz w:val="28"/>
        </w:rPr>
        <w:t>“</w:t>
      </w:r>
      <w:r>
        <w:rPr>
          <w:rFonts w:ascii="Times New Roman"/>
          <w:sz w:val="28"/>
        </w:rPr>
        <w:t>App market</w:t>
      </w:r>
      <w:r>
        <w:rPr>
          <w:rFonts w:ascii="Times New Roman"/>
          <w:sz w:val="28"/>
        </w:rPr>
        <w:t>”</w:t>
      </w:r>
      <w:r>
        <w:rPr>
          <w:rFonts w:ascii="Times New Roman"/>
          <w:sz w:val="28"/>
        </w:rPr>
        <w:t>), as prescribed by Presidential Decree.</w:t>
      </w:r>
    </w:p>
    <w:p w:rsidR="00BF4716" w:rsidRDefault="005F011B">
      <w:pPr>
        <w:pStyle w:val="ae"/>
      </w:pPr>
      <w:r>
        <w:rPr>
          <w:rFonts w:ascii="Times New Roman"/>
          <w:spacing w:val="4"/>
        </w:rPr>
        <w:t>Article 45-2 (1) 6 is moved to Article 45-2 (1) 7, and Article 45-2 (1) 6 is newly inserted as follows:</w:t>
      </w:r>
    </w:p>
    <w:p w:rsidR="00BF4716" w:rsidRDefault="005F011B">
      <w:pPr>
        <w:pStyle w:val="ae"/>
        <w:ind w:left="266" w:hanging="266"/>
      </w:pPr>
      <w:r>
        <w:rPr>
          <w:rFonts w:ascii="Times New Roman"/>
        </w:rPr>
        <w:t xml:space="preserve">  6. A dispute over the payment, cancellation of payment, or refund of service </w:t>
      </w:r>
      <w:r>
        <w:rPr>
          <w:rFonts w:ascii="Times New Roman"/>
        </w:rPr>
        <w:lastRenderedPageBreak/>
        <w:t>charges in the App market;</w:t>
      </w:r>
    </w:p>
    <w:p w:rsidR="00BF4716" w:rsidRDefault="005F011B">
      <w:pPr>
        <w:pStyle w:val="af"/>
        <w:spacing w:line="384" w:lineRule="auto"/>
        <w:ind w:firstLine="0"/>
      </w:pPr>
      <w:r>
        <w:rPr>
          <w:rFonts w:ascii="Times New Roman"/>
        </w:rPr>
        <w:t>“</w:t>
      </w:r>
      <w:r>
        <w:rPr>
          <w:rFonts w:ascii="Times New Roman"/>
        </w:rPr>
        <w:t>Telecommunications business operator</w:t>
      </w:r>
      <w:r>
        <w:rPr>
          <w:rFonts w:ascii="Times New Roman"/>
        </w:rPr>
        <w:t>”</w:t>
      </w:r>
      <w:r>
        <w:rPr>
          <w:rFonts w:ascii="Times New Roman"/>
        </w:rPr>
        <w:t xml:space="preserve"> in Article 50 (1), with the exception of the subparagraphs, is changed to </w:t>
      </w:r>
      <w:r>
        <w:rPr>
          <w:rFonts w:ascii="Times New Roman"/>
        </w:rPr>
        <w:t>“</w:t>
      </w:r>
      <w:r>
        <w:rPr>
          <w:rFonts w:ascii="Times New Roman"/>
        </w:rPr>
        <w:t>telecommunications business operator (limited to App market business operators, in cases falling under subparagraphs 9 through 11; hereafter the same shall apply in this Article)</w:t>
      </w:r>
      <w:r>
        <w:rPr>
          <w:rFonts w:ascii="Times New Roman"/>
        </w:rPr>
        <w:t>”</w:t>
      </w:r>
      <w:r>
        <w:rPr>
          <w:rFonts w:ascii="Times New Roman"/>
        </w:rPr>
        <w:t xml:space="preserve"> and subparagraphs 9 through 11 of the same Article are newly inserted as follows:  </w:t>
      </w:r>
    </w:p>
    <w:p w:rsidR="00BF4716" w:rsidRDefault="005F011B">
      <w:pPr>
        <w:pStyle w:val="GEN0"/>
        <w:spacing w:line="384" w:lineRule="auto"/>
        <w:ind w:left="280" w:hanging="280"/>
      </w:pPr>
      <w:r>
        <w:rPr>
          <w:rFonts w:ascii="Times New Roman"/>
        </w:rPr>
        <w:t xml:space="preserve">  9. An act an App market business operator forces a business operator providing mobile content, etc. to use a specific payment method by unfairly using their bargaining position when brokering the transactions of mobile content, etc.;</w:t>
      </w:r>
    </w:p>
    <w:p w:rsidR="00BF4716" w:rsidRDefault="005F011B">
      <w:pPr>
        <w:pStyle w:val="GEN0"/>
        <w:spacing w:line="384" w:lineRule="auto"/>
        <w:ind w:left="280" w:hanging="280"/>
      </w:pPr>
      <w:r>
        <w:rPr>
          <w:rFonts w:ascii="Times New Roman"/>
        </w:rPr>
        <w:t xml:space="preserve">  10. An act an App market business operator unfairly delays examinations of mobile content, etc.;</w:t>
      </w:r>
    </w:p>
    <w:p w:rsidR="00BF4716" w:rsidRDefault="005F011B">
      <w:pPr>
        <w:pStyle w:val="GEN0"/>
        <w:spacing w:line="384" w:lineRule="auto"/>
        <w:ind w:left="280" w:hanging="280"/>
      </w:pPr>
      <w:r>
        <w:rPr>
          <w:rFonts w:ascii="Times New Roman"/>
        </w:rPr>
        <w:t xml:space="preserve">  11. An act an App market business operator unfairly deletes mobile content, etc. in the App market.</w:t>
      </w:r>
    </w:p>
    <w:p w:rsidR="00BF4716" w:rsidRDefault="005F011B">
      <w:pPr>
        <w:pStyle w:val="af"/>
        <w:spacing w:line="384" w:lineRule="auto"/>
        <w:ind w:firstLine="0"/>
      </w:pPr>
      <w:r>
        <w:rPr>
          <w:rFonts w:ascii="Times New Roman"/>
        </w:rPr>
        <w:t xml:space="preserve"> </w:t>
      </w:r>
      <w:r>
        <w:rPr>
          <w:rFonts w:ascii="Times New Roman"/>
        </w:rPr>
        <w:t>“</w:t>
      </w:r>
      <w:r>
        <w:rPr>
          <w:rFonts w:ascii="Times New Roman"/>
        </w:rPr>
        <w:t>22-7</w:t>
      </w:r>
      <w:r>
        <w:rPr>
          <w:rFonts w:ascii="Times New Roman"/>
        </w:rPr>
        <w:t>”</w:t>
      </w:r>
      <w:r>
        <w:rPr>
          <w:rFonts w:ascii="Times New Roman"/>
        </w:rPr>
        <w:t xml:space="preserve"> in Article 92 (1) 1 is changed to </w:t>
      </w:r>
      <w:r>
        <w:rPr>
          <w:rFonts w:ascii="Times New Roman"/>
        </w:rPr>
        <w:t>“</w:t>
      </w:r>
      <w:r>
        <w:rPr>
          <w:rFonts w:ascii="Times New Roman"/>
        </w:rPr>
        <w:t>22-7, 22-9</w:t>
      </w:r>
      <w:r>
        <w:rPr>
          <w:rFonts w:ascii="Times New Roman"/>
        </w:rPr>
        <w:t>”</w:t>
      </w:r>
    </w:p>
    <w:p w:rsidR="00BF4716" w:rsidRDefault="00BF4716">
      <w:pPr>
        <w:pStyle w:val="a3"/>
        <w:rPr>
          <w:rFonts w:ascii="Times New Roman"/>
          <w:sz w:val="28"/>
        </w:rPr>
      </w:pPr>
    </w:p>
    <w:p w:rsidR="00BF4716" w:rsidRDefault="00BF4716">
      <w:pPr>
        <w:wordWrap w:val="0"/>
        <w:spacing w:line="384" w:lineRule="auto"/>
        <w:jc w:val="both"/>
        <w:rPr>
          <w:rFonts w:ascii="Times New Roman"/>
          <w:sz w:val="28"/>
        </w:rPr>
      </w:pPr>
    </w:p>
    <w:p w:rsidR="00BF4716" w:rsidRDefault="00BF4716">
      <w:pPr>
        <w:wordWrap w:val="0"/>
        <w:spacing w:line="384" w:lineRule="auto"/>
        <w:jc w:val="both"/>
        <w:rPr>
          <w:rFonts w:ascii="Times New Roman"/>
          <w:sz w:val="28"/>
        </w:rPr>
      </w:pPr>
    </w:p>
    <w:p w:rsidR="00BF4716" w:rsidRDefault="005F011B">
      <w:pPr>
        <w:pStyle w:val="GEN"/>
        <w:wordWrap/>
        <w:spacing w:line="384" w:lineRule="auto"/>
        <w:ind w:left="280" w:hanging="280"/>
        <w:jc w:val="center"/>
      </w:pPr>
      <w:r>
        <w:rPr>
          <w:rFonts w:ascii="Times New Roman"/>
          <w:b/>
        </w:rPr>
        <w:t>Addendum</w:t>
      </w:r>
    </w:p>
    <w:p w:rsidR="00BF4716" w:rsidRDefault="00BF4716">
      <w:pPr>
        <w:pStyle w:val="af0"/>
        <w:ind w:firstLine="0"/>
        <w:rPr>
          <w:rFonts w:ascii="Times New Roman"/>
          <w:spacing w:val="4"/>
        </w:rPr>
      </w:pPr>
    </w:p>
    <w:p w:rsidR="00BF4716" w:rsidRDefault="005F011B">
      <w:pPr>
        <w:pStyle w:val="af0"/>
        <w:ind w:firstLine="0"/>
      </w:pPr>
      <w:r>
        <w:rPr>
          <w:rFonts w:ascii="Times New Roman"/>
        </w:rPr>
        <w:t>This Act shall enter into force on the date of its promulgation: Provided, That Article 22-9 shall enter into force six months after the date of its promulgation.</w:t>
      </w:r>
    </w:p>
    <w:p w:rsidR="00BF4716" w:rsidRDefault="005F011B">
      <w:pPr>
        <w:pStyle w:val="a3"/>
      </w:pPr>
      <w:r>
        <w:br w:type="page"/>
      </w:r>
    </w:p>
    <w:p w:rsidR="00BF4716" w:rsidRDefault="005F011B">
      <w:pPr>
        <w:pStyle w:val="GEN1"/>
      </w:pPr>
      <w:r>
        <w:rPr>
          <w:rFonts w:ascii="Times New Roman"/>
        </w:rPr>
        <w:lastRenderedPageBreak/>
        <w:t>Current and Amended Provisions</w:t>
      </w:r>
    </w:p>
    <w:tbl>
      <w:tblPr>
        <w:tblOverlap w:val="never"/>
        <w:tblW w:w="895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4479"/>
        <w:gridCol w:w="4479"/>
      </w:tblGrid>
      <w:tr w:rsidR="00BF4716">
        <w:trPr>
          <w:trHeight w:val="483"/>
        </w:trPr>
        <w:tc>
          <w:tcPr>
            <w:tcW w:w="4479" w:type="dxa"/>
            <w:tcBorders>
              <w:top w:val="single" w:sz="3" w:space="0" w:color="000000"/>
              <w:left w:val="single" w:sz="3" w:space="0" w:color="000000"/>
              <w:bottom w:val="single" w:sz="3" w:space="0" w:color="000000"/>
              <w:right w:val="single" w:sz="3" w:space="0" w:color="000000"/>
            </w:tcBorders>
            <w:vAlign w:val="center"/>
          </w:tcPr>
          <w:p w:rsidR="00BF4716" w:rsidRDefault="005F011B">
            <w:pPr>
              <w:pStyle w:val="ae"/>
              <w:wordWrap/>
              <w:jc w:val="center"/>
            </w:pPr>
            <w:r>
              <w:rPr>
                <w:rFonts w:ascii="Times New Roman"/>
              </w:rPr>
              <w:t>Current</w:t>
            </w:r>
          </w:p>
        </w:tc>
        <w:tc>
          <w:tcPr>
            <w:tcW w:w="4479" w:type="dxa"/>
            <w:tcBorders>
              <w:top w:val="single" w:sz="3" w:space="0" w:color="000000"/>
              <w:left w:val="single" w:sz="3" w:space="0" w:color="000000"/>
              <w:bottom w:val="single" w:sz="3" w:space="0" w:color="000000"/>
              <w:right w:val="single" w:sz="3" w:space="0" w:color="000000"/>
            </w:tcBorders>
            <w:vAlign w:val="center"/>
          </w:tcPr>
          <w:p w:rsidR="00BF4716" w:rsidRDefault="005F011B">
            <w:pPr>
              <w:pStyle w:val="ae"/>
              <w:wordWrap/>
              <w:jc w:val="center"/>
            </w:pPr>
            <w:r>
              <w:rPr>
                <w:rFonts w:ascii="Times New Roman"/>
              </w:rPr>
              <w:t>Proposed Amendment</w:t>
            </w:r>
          </w:p>
        </w:tc>
      </w:tr>
      <w:tr w:rsidR="00BF4716">
        <w:trPr>
          <w:trHeight w:val="57"/>
        </w:trPr>
        <w:tc>
          <w:tcPr>
            <w:tcW w:w="4479" w:type="dxa"/>
            <w:tcBorders>
              <w:top w:val="none" w:sz="3" w:space="0" w:color="000000"/>
              <w:left w:val="single" w:sz="3" w:space="0" w:color="000000"/>
              <w:bottom w:val="none" w:sz="3" w:space="0" w:color="000000"/>
              <w:right w:val="single" w:sz="3" w:space="0" w:color="000000"/>
            </w:tcBorders>
            <w:tcMar>
              <w:top w:w="0" w:type="dxa"/>
              <w:left w:w="113" w:type="dxa"/>
              <w:bottom w:w="0" w:type="dxa"/>
              <w:right w:w="113" w:type="dxa"/>
            </w:tcMar>
            <w:vAlign w:val="center"/>
          </w:tcPr>
          <w:p w:rsidR="00BF4716" w:rsidRDefault="00BF4716">
            <w:pPr>
              <w:pStyle w:val="af1"/>
              <w:spacing w:line="384" w:lineRule="auto"/>
              <w:rPr>
                <w:rFonts w:ascii="Times New Roman" w:eastAsia="한양신명조"/>
              </w:rPr>
            </w:pPr>
          </w:p>
        </w:tc>
        <w:tc>
          <w:tcPr>
            <w:tcW w:w="4479" w:type="dxa"/>
            <w:tcBorders>
              <w:top w:val="none" w:sz="2" w:space="0" w:color="000000"/>
              <w:left w:val="single" w:sz="3" w:space="0" w:color="000000"/>
              <w:bottom w:val="none" w:sz="2" w:space="0" w:color="000000"/>
              <w:right w:val="single" w:sz="3" w:space="0" w:color="000000"/>
            </w:tcBorders>
            <w:tcMar>
              <w:top w:w="0" w:type="dxa"/>
              <w:left w:w="113" w:type="dxa"/>
              <w:bottom w:w="0" w:type="dxa"/>
              <w:right w:w="113" w:type="dxa"/>
            </w:tcMar>
            <w:vAlign w:val="center"/>
          </w:tcPr>
          <w:p w:rsidR="00BF4716" w:rsidRDefault="00BF4716">
            <w:pPr>
              <w:pStyle w:val="af1"/>
              <w:spacing w:line="384" w:lineRule="auto"/>
              <w:rPr>
                <w:rFonts w:ascii="Times New Roman" w:eastAsia="한양신명조"/>
              </w:rPr>
            </w:pP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w:t>
            </w:r>
            <w:r>
              <w:rPr>
                <w:rFonts w:ascii="Times New Roman"/>
                <w:spacing w:val="-7"/>
                <w:w w:val="97"/>
                <w:u w:val="single"/>
              </w:rPr>
              <w:t>&lt;Newly Inserted&gt;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wordWrap w:val="0"/>
              <w:spacing w:line="384" w:lineRule="auto"/>
              <w:ind w:left="280" w:hanging="280"/>
              <w:jc w:val="both"/>
            </w:pPr>
            <w:r>
              <w:rPr>
                <w:rFonts w:ascii="Times New Roman"/>
                <w:sz w:val="28"/>
              </w:rPr>
              <w:t>Article 22-9 (Obligations of and Fact-Finding Surveys on App Market Business Operators) (1) An App market business operator shall prevent damage to users and protect their rights and interests, such as through specifying matters regarding the payment for and refund on mobile content, etc. in the terms and conditions of use, as prescribed by Presidential Decree.</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BF4716">
            <w:pPr>
              <w:pStyle w:val="GEN0"/>
              <w:spacing w:line="384" w:lineRule="auto"/>
              <w:ind w:left="280" w:hanging="280"/>
              <w:rPr>
                <w:rFonts w:ascii="Times New Roman"/>
                <w:spacing w:val="-7"/>
                <w:w w:val="97"/>
              </w:rPr>
            </w:pP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w:t>
            </w:r>
            <w:r>
              <w:rPr>
                <w:rFonts w:ascii="Times New Roman"/>
                <w:u w:val="single"/>
              </w:rPr>
              <w:t xml:space="preserve">(2) The Minister of Science and ICT or the Korea Communications Commission may conduct a fact-finding survey on the App market operation of an App market business operator, if necessary for protection, etc. of a person who provides mobile content, etc. to register and sell them (hereinafter referred to as </w:t>
            </w:r>
            <w:r>
              <w:rPr>
                <w:rFonts w:ascii="Times New Roman"/>
                <w:u w:val="single"/>
              </w:rPr>
              <w:t>“</w:t>
            </w:r>
            <w:r>
              <w:rPr>
                <w:rFonts w:ascii="Times New Roman"/>
                <w:u w:val="single"/>
              </w:rPr>
              <w:t xml:space="preserve">business operator </w:t>
            </w:r>
            <w:r>
              <w:rPr>
                <w:rFonts w:ascii="Times New Roman"/>
                <w:u w:val="single"/>
              </w:rPr>
              <w:lastRenderedPageBreak/>
              <w:t>providing mobile content, etc.</w:t>
            </w:r>
            <w:r>
              <w:rPr>
                <w:rFonts w:ascii="Times New Roman"/>
                <w:u w:val="single"/>
              </w:rPr>
              <w:t>”</w:t>
            </w:r>
            <w:r>
              <w:rPr>
                <w:rFonts w:ascii="Times New Roman"/>
                <w:u w:val="single"/>
              </w:rPr>
              <w:t xml:space="preserve">) in a space for brokering the transactions of mobile content, etc. (hereinafter referred to as </w:t>
            </w:r>
            <w:r>
              <w:rPr>
                <w:rFonts w:ascii="Times New Roman"/>
                <w:u w:val="single"/>
              </w:rPr>
              <w:t>“</w:t>
            </w:r>
            <w:r>
              <w:rPr>
                <w:rFonts w:ascii="Times New Roman"/>
                <w:u w:val="single"/>
              </w:rPr>
              <w:t>App market</w:t>
            </w:r>
            <w:r>
              <w:rPr>
                <w:rFonts w:ascii="Times New Roman"/>
                <w:u w:val="single"/>
              </w:rPr>
              <w:t>”</w:t>
            </w:r>
            <w:r>
              <w:rPr>
                <w:rFonts w:ascii="Times New Roman"/>
                <w:u w:val="single"/>
              </w:rPr>
              <w:t>), as prescribed by Presidential Decree.</w:t>
            </w:r>
          </w:p>
        </w:tc>
      </w:tr>
      <w:tr w:rsidR="00BF4716">
        <w:trPr>
          <w:trHeight w:val="1124"/>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wordWrap w:val="0"/>
              <w:spacing w:line="384" w:lineRule="auto"/>
              <w:ind w:left="280" w:hanging="280"/>
              <w:jc w:val="both"/>
            </w:pPr>
            <w:r>
              <w:rPr>
                <w:rFonts w:ascii="Times New Roman"/>
                <w:sz w:val="28"/>
              </w:rPr>
              <w:lastRenderedPageBreak/>
              <w:t>Article 45-2 (Establishment and Organization of Communications Dispute Mediation Committee) (1) The Korea Communications Commission may establish a Communications Dispute Mediation Committee (hereinafter referred to as the "Dispute Mediation Committee") to efficiently mediate any of the following disputes between a telecommunications business operator and a user:</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w:t>
            </w:r>
            <w:r>
              <w:rPr>
                <w:rFonts w:ascii="Times New Roman"/>
              </w:rPr>
              <w:t>Article 45-2 (Establishment and Organization of Communications Dispute Mediation Committee)</w:t>
            </w:r>
            <w:r>
              <w:rPr>
                <w:rFonts w:ascii="Times New Roman"/>
                <w:spacing w:val="-7"/>
                <w:w w:val="97"/>
              </w:rPr>
              <w:t xml:space="preserve"> (1)----------------------------------------------------------------------------------------------------------------------------------------------------------------.</w:t>
            </w:r>
          </w:p>
        </w:tc>
      </w:tr>
      <w:tr w:rsidR="00BF4716">
        <w:trPr>
          <w:trHeight w:val="483"/>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1. </w:t>
            </w:r>
            <w:r>
              <w:rPr>
                <w:spacing w:val="-7"/>
                <w:w w:val="97"/>
              </w:rPr>
              <w:t>∼</w:t>
            </w:r>
            <w:r>
              <w:rPr>
                <w:rFonts w:ascii="Times New Roman"/>
                <w:spacing w:val="-7"/>
                <w:w w:val="97"/>
              </w:rPr>
              <w:t xml:space="preserve"> 5. (Omitted)</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1. </w:t>
            </w:r>
            <w:r>
              <w:rPr>
                <w:spacing w:val="-7"/>
                <w:w w:val="97"/>
              </w:rPr>
              <w:t>∼</w:t>
            </w:r>
            <w:r>
              <w:rPr>
                <w:rFonts w:ascii="Times New Roman"/>
                <w:spacing w:val="-7"/>
                <w:w w:val="97"/>
              </w:rPr>
              <w:t xml:space="preserve"> 5. (Same as the current)</w:t>
            </w:r>
          </w:p>
        </w:tc>
      </w:tr>
      <w:tr w:rsidR="00BF4716">
        <w:trPr>
          <w:trHeight w:val="483"/>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w:t>
            </w:r>
            <w:r>
              <w:rPr>
                <w:rFonts w:ascii="Times New Roman"/>
                <w:spacing w:val="-7"/>
                <w:w w:val="97"/>
                <w:u w:val="single"/>
              </w:rPr>
              <w:t>&lt;Newly Inserted&gt;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w:t>
            </w:r>
            <w:r>
              <w:rPr>
                <w:rFonts w:ascii="Times New Roman"/>
                <w:u w:val="single"/>
              </w:rPr>
              <w:t xml:space="preserve">6. A dispute over the payment, cancellation of payment, or refund of service charges in the </w:t>
            </w:r>
            <w:r>
              <w:rPr>
                <w:rFonts w:ascii="Times New Roman"/>
                <w:u w:val="single"/>
              </w:rPr>
              <w:lastRenderedPageBreak/>
              <w:t>App market;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lastRenderedPageBreak/>
              <w:t xml:space="preserve">  </w:t>
            </w:r>
            <w:r>
              <w:rPr>
                <w:rFonts w:ascii="Times New Roman"/>
                <w:spacing w:val="-7"/>
                <w:w w:val="97"/>
                <w:u w:val="single"/>
              </w:rPr>
              <w:t>6.</w:t>
            </w:r>
            <w:r>
              <w:rPr>
                <w:rFonts w:ascii="Times New Roman"/>
                <w:spacing w:val="-7"/>
                <w:w w:val="97"/>
              </w:rPr>
              <w:t xml:space="preserve"> (Omitted)</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w:t>
            </w:r>
            <w:r>
              <w:rPr>
                <w:rFonts w:ascii="Times New Roman"/>
                <w:spacing w:val="-7"/>
                <w:w w:val="97"/>
                <w:u w:val="single"/>
              </w:rPr>
              <w:t>7.</w:t>
            </w:r>
            <w:r>
              <w:rPr>
                <w:rFonts w:ascii="Times New Roman"/>
                <w:spacing w:val="-7"/>
                <w:w w:val="97"/>
              </w:rPr>
              <w:t xml:space="preserve"> (Same as the current subparagraph 6)</w:t>
            </w:r>
          </w:p>
        </w:tc>
      </w:tr>
      <w:tr w:rsidR="00BF4716">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(2) </w:t>
            </w:r>
            <w:r>
              <w:rPr>
                <w:spacing w:val="-7"/>
                <w:w w:val="97"/>
              </w:rPr>
              <w:t>∼</w:t>
            </w:r>
            <w:r>
              <w:rPr>
                <w:rFonts w:ascii="Times New Roman"/>
                <w:spacing w:val="-7"/>
                <w:w w:val="97"/>
              </w:rPr>
              <w:t xml:space="preserve"> (5) (Omitted)</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(2) </w:t>
            </w:r>
            <w:r>
              <w:rPr>
                <w:spacing w:val="-7"/>
                <w:w w:val="97"/>
              </w:rPr>
              <w:t>∼</w:t>
            </w:r>
            <w:r>
              <w:rPr>
                <w:rFonts w:ascii="Times New Roman"/>
                <w:spacing w:val="-7"/>
                <w:w w:val="97"/>
              </w:rPr>
              <w:t xml:space="preserve"> (5) (Same as the current)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wordWrap w:val="0"/>
              <w:spacing w:line="384" w:lineRule="auto"/>
              <w:ind w:left="280" w:hanging="280"/>
              <w:jc w:val="both"/>
            </w:pPr>
            <w:r>
              <w:rPr>
                <w:rFonts w:ascii="Times New Roman"/>
                <w:sz w:val="28"/>
              </w:rPr>
              <w:t xml:space="preserve">Article 50 (Prohibited Acts) (1) No </w:t>
            </w:r>
            <w:r>
              <w:rPr>
                <w:rFonts w:ascii="Times New Roman"/>
                <w:sz w:val="28"/>
                <w:u w:val="single"/>
              </w:rPr>
              <w:t>telecommunications business operator</w:t>
            </w:r>
            <w:r>
              <w:rPr>
                <w:rFonts w:ascii="Times New Roman"/>
                <w:sz w:val="28"/>
              </w:rPr>
              <w:t xml:space="preserve"> may engage in any of the following conduct (hereinafter referred to as "prohibited acts") which undermine or are likely to undermine fair competition or users' interests, or allow other telecommunications business operators or third parties to engage in such conduct: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Article 50 (</w:t>
            </w:r>
            <w:r>
              <w:rPr>
                <w:rFonts w:ascii="Times New Roman"/>
              </w:rPr>
              <w:t>Prohibited Acts</w:t>
            </w:r>
            <w:r>
              <w:rPr>
                <w:rFonts w:ascii="Times New Roman"/>
                <w:spacing w:val="-7"/>
                <w:w w:val="97"/>
              </w:rPr>
              <w:t xml:space="preserve">) (1) </w:t>
            </w:r>
            <w:r>
              <w:rPr>
                <w:rFonts w:ascii="Times New Roman"/>
              </w:rPr>
              <w:t>No</w:t>
            </w:r>
            <w:r>
              <w:rPr>
                <w:rFonts w:ascii="Times New Roman"/>
                <w:u w:val="single"/>
              </w:rPr>
              <w:t xml:space="preserve"> telecommunications business operator</w:t>
            </w:r>
            <w:r>
              <w:rPr>
                <w:rFonts w:ascii="Times New Roman"/>
              </w:rPr>
              <w:t xml:space="preserve"> (limited to App market business operators, in cases falling under subparagraphs 9 through 11; hereafter the same shall apply in this Article)</w:t>
            </w:r>
            <w:r>
              <w:rPr>
                <w:rFonts w:ascii="Times New Roman"/>
                <w:u w:val="single"/>
              </w:rPr>
              <w:t xml:space="preserve"> </w:t>
            </w:r>
            <w:r>
              <w:rPr>
                <w:rFonts w:ascii="Times New Roman"/>
                <w:spacing w:val="-7"/>
                <w:w w:val="97"/>
              </w:rPr>
              <w: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w:t>
            </w:r>
            <w:r>
              <w:rPr>
                <w:rFonts w:ascii="Times New Roman"/>
                <w:spacing w:val="-7"/>
                <w:w w:val="97"/>
                <w:u w:val="single"/>
              </w:rPr>
              <w:t>&lt;Newly Inserted&gt;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w:t>
            </w:r>
            <w:r>
              <w:rPr>
                <w:rFonts w:ascii="Times New Roman"/>
                <w:u w:val="single"/>
              </w:rPr>
              <w:t>9. App market business operator</w:t>
            </w:r>
            <w:r>
              <w:rPr>
                <w:rFonts w:ascii="Times New Roman"/>
                <w:u w:val="single"/>
              </w:rPr>
              <w:t>’</w:t>
            </w:r>
            <w:r>
              <w:rPr>
                <w:rFonts w:ascii="Times New Roman"/>
                <w:u w:val="single"/>
              </w:rPr>
              <w:t>s forcing a business operator providing mobile content, etc. to use a specific payment method by unfairly using their bargaining position when brokering the transactions of mobile content, etc.;</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lastRenderedPageBreak/>
              <w:t xml:space="preserve">  </w:t>
            </w:r>
            <w:r>
              <w:rPr>
                <w:rFonts w:ascii="Times New Roman"/>
                <w:spacing w:val="-7"/>
                <w:w w:val="97"/>
                <w:u w:val="single"/>
              </w:rPr>
              <w:t>&lt;Newly Inserted&gt;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rPr>
              <w:t xml:space="preserve">  </w:t>
            </w:r>
            <w:r>
              <w:rPr>
                <w:rFonts w:ascii="Times New Roman"/>
                <w:u w:val="single"/>
              </w:rPr>
              <w:t>10. App market business operator</w:t>
            </w:r>
            <w:r>
              <w:rPr>
                <w:rFonts w:ascii="Times New Roman"/>
                <w:u w:val="single"/>
              </w:rPr>
              <w:t>’</w:t>
            </w:r>
            <w:r>
              <w:rPr>
                <w:rFonts w:ascii="Times New Roman"/>
                <w:u w:val="single"/>
              </w:rPr>
              <w:t>s unfair delaying examinations of mobile content, etc.;</w:t>
            </w:r>
          </w:p>
        </w:tc>
      </w:tr>
      <w:tr w:rsidR="00BF4716">
        <w:trPr>
          <w:trHeight w:val="1514"/>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w:t>
            </w:r>
            <w:r>
              <w:rPr>
                <w:rFonts w:ascii="Times New Roman"/>
                <w:spacing w:val="-7"/>
                <w:w w:val="97"/>
                <w:u w:val="single"/>
              </w:rPr>
              <w:t>&lt;Newly Inserted&gt;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w:t>
            </w:r>
            <w:r>
              <w:rPr>
                <w:rFonts w:ascii="Times New Roman"/>
                <w:u w:val="single"/>
              </w:rPr>
              <w:t>11. App market business operator</w:t>
            </w:r>
            <w:r>
              <w:rPr>
                <w:rFonts w:ascii="Times New Roman"/>
                <w:u w:val="single"/>
              </w:rPr>
              <w:t>’</w:t>
            </w:r>
            <w:r>
              <w:rPr>
                <w:rFonts w:ascii="Times New Roman"/>
                <w:u w:val="single"/>
              </w:rPr>
              <w:t>s unfair deleting mobile content, etc. in the App market.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wordWrap w:val="0"/>
              <w:spacing w:line="384" w:lineRule="auto"/>
              <w:ind w:left="280" w:hanging="280"/>
              <w:jc w:val="both"/>
            </w:pPr>
            <w:r>
              <w:rPr>
                <w:rFonts w:ascii="Times New Roman"/>
                <w:sz w:val="28"/>
              </w:rPr>
              <w:t xml:space="preserve">Article 92 (Corrective Orders) (1) The Minister of Science and ICT or the Korea Communications Commission may issue a corrective order to any of the following telecommunications business operators or facility management authorities, based upon affairs falling under his or her or its jurisdiction. In such cases, where the Korea Communications Commission issues a corrective order for violating Article 22-5, it shall notify the Korea Communications Standards Commission established under Article 18 of the Act on the Establishment and Operation of </w:t>
            </w:r>
            <w:r>
              <w:rPr>
                <w:rFonts w:ascii="Times New Roman"/>
                <w:sz w:val="28"/>
              </w:rPr>
              <w:lastRenderedPageBreak/>
              <w:t>Korea Communications Commission of such fact:</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rPr>
              <w:lastRenderedPageBreak/>
              <w:t xml:space="preserve">Article 92 (Corrective Orders) (1) </w:t>
            </w:r>
            <w:r>
              <w:rPr>
                <w:rFonts w:ascii="Times New Roman"/>
                <w:spacing w:val="-7"/>
                <w:w w:val="97"/>
              </w:rPr>
              <w: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1. Where he or she violates Article 3, 4, 4-2, 6, 9 through 11, 14 through 22, 22-3 through 22-5, </w:t>
            </w:r>
            <w:r>
              <w:rPr>
                <w:rFonts w:ascii="Times New Roman"/>
                <w:spacing w:val="-7"/>
                <w:w w:val="97"/>
                <w:u w:val="single"/>
              </w:rPr>
              <w:t>22-7</w:t>
            </w:r>
            <w:r>
              <w:rPr>
                <w:rFonts w:ascii="Times New Roman"/>
                <w:spacing w:val="-7"/>
                <w:w w:val="97"/>
              </w:rPr>
              <w:t>, 23, 24, 26 through 28, 30 through 32, 32-3, 32-4, 32-6, 32-7, 32-8, 33 through 35, 35-2, 36 through 44, 47 through 49, 51, 56 through 60, 60-2, 60-3, 61, 62, 64 through 66, 69, 73 through 75, 79 or 82 through 84, 84-2, 85 through 87, and 88, or the orders issued under these provisions;</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1. -----------------------------------------------------------------------------------------</w:t>
            </w:r>
            <w:r>
              <w:rPr>
                <w:rFonts w:ascii="Times New Roman"/>
                <w:u w:val="single"/>
              </w:rPr>
              <w:t>22-7, 22-9,</w:t>
            </w:r>
            <w:r>
              <w:rPr>
                <w:rFonts w:ascii="Times New Roman"/>
                <w:spacing w:val="-7"/>
                <w:w w:val="97"/>
              </w:rPr>
              <w:t>----------------------------------------------------------------------------------------------------------------------------------------------------------------------------------------------------------------------------------------------------------------------------------------------------------------------------------------------------------------------------------------------</w:t>
            </w:r>
          </w:p>
        </w:tc>
      </w:tr>
      <w:tr w:rsidR="00BF4716">
        <w:trPr>
          <w:trHeight w:val="506"/>
        </w:trPr>
        <w:tc>
          <w:tcPr>
            <w:tcW w:w="4479" w:type="dxa"/>
            <w:tcBorders>
              <w:top w:val="none" w:sz="3" w:space="0" w:color="000000"/>
              <w:left w:val="single" w:sz="3" w:space="0" w:color="000000"/>
              <w:bottom w:val="non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2.</w:t>
            </w:r>
            <w:r>
              <w:rPr>
                <w:spacing w:val="-7"/>
                <w:w w:val="97"/>
              </w:rPr>
              <w:t>⋅</w:t>
            </w:r>
            <w:r>
              <w:rPr>
                <w:rFonts w:ascii="Times New Roman"/>
                <w:spacing w:val="-7"/>
                <w:w w:val="97"/>
              </w:rPr>
              <w:t>3. (Omitted)</w:t>
            </w:r>
          </w:p>
        </w:tc>
        <w:tc>
          <w:tcPr>
            <w:tcW w:w="4479" w:type="dxa"/>
            <w:tcBorders>
              <w:top w:val="none" w:sz="2" w:space="0" w:color="000000"/>
              <w:left w:val="single" w:sz="3" w:space="0" w:color="000000"/>
              <w:bottom w:val="none" w:sz="2"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560" w:hanging="560"/>
            </w:pPr>
            <w:r>
              <w:rPr>
                <w:rFonts w:ascii="Times New Roman"/>
                <w:spacing w:val="-7"/>
                <w:w w:val="97"/>
              </w:rPr>
              <w:t xml:space="preserve">  2.</w:t>
            </w:r>
            <w:r>
              <w:rPr>
                <w:spacing w:val="-7"/>
                <w:w w:val="97"/>
              </w:rPr>
              <w:t>⋅</w:t>
            </w:r>
            <w:r>
              <w:rPr>
                <w:rFonts w:ascii="Times New Roman"/>
                <w:spacing w:val="-7"/>
                <w:w w:val="97"/>
              </w:rPr>
              <w:t>3. (Same as the current)</w:t>
            </w:r>
          </w:p>
        </w:tc>
      </w:tr>
      <w:tr w:rsidR="00BF4716">
        <w:trPr>
          <w:trHeight w:val="506"/>
        </w:trPr>
        <w:tc>
          <w:tcPr>
            <w:tcW w:w="4479" w:type="dxa"/>
            <w:tcBorders>
              <w:top w:val="none" w:sz="3" w:space="0" w:color="000000"/>
              <w:left w:val="single" w:sz="3" w:space="0" w:color="000000"/>
              <w:bottom w:val="singl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(2) </w:t>
            </w:r>
            <w:r>
              <w:rPr>
                <w:spacing w:val="-7"/>
                <w:w w:val="97"/>
              </w:rPr>
              <w:t>∼</w:t>
            </w:r>
            <w:r>
              <w:rPr>
                <w:rFonts w:ascii="Times New Roman"/>
                <w:spacing w:val="-7"/>
                <w:w w:val="97"/>
              </w:rPr>
              <w:t xml:space="preserve"> (5) (Omitted)</w:t>
            </w:r>
          </w:p>
        </w:tc>
        <w:tc>
          <w:tcPr>
            <w:tcW w:w="4479" w:type="dxa"/>
            <w:tcBorders>
              <w:top w:val="none" w:sz="2" w:space="0" w:color="000000"/>
              <w:left w:val="single" w:sz="3" w:space="0" w:color="000000"/>
              <w:bottom w:val="single" w:sz="3" w:space="0" w:color="000000"/>
              <w:right w:val="single" w:sz="3" w:space="0" w:color="000000"/>
            </w:tcBorders>
            <w:tcMar>
              <w:top w:w="113" w:type="dxa"/>
              <w:left w:w="113" w:type="dxa"/>
              <w:bottom w:w="113" w:type="dxa"/>
              <w:right w:w="113" w:type="dxa"/>
            </w:tcMar>
          </w:tcPr>
          <w:p w:rsidR="00BF4716" w:rsidRDefault="005F011B">
            <w:pPr>
              <w:pStyle w:val="GEN0"/>
              <w:spacing w:line="384" w:lineRule="auto"/>
              <w:ind w:left="280" w:hanging="280"/>
            </w:pPr>
            <w:r>
              <w:rPr>
                <w:rFonts w:ascii="Times New Roman"/>
                <w:spacing w:val="-7"/>
                <w:w w:val="97"/>
              </w:rPr>
              <w:t xml:space="preserve">  (2) </w:t>
            </w:r>
            <w:r>
              <w:rPr>
                <w:spacing w:val="-7"/>
                <w:w w:val="97"/>
              </w:rPr>
              <w:t>∼</w:t>
            </w:r>
            <w:r>
              <w:rPr>
                <w:rFonts w:ascii="Times New Roman"/>
                <w:spacing w:val="-7"/>
                <w:w w:val="97"/>
              </w:rPr>
              <w:t xml:space="preserve"> (5) (Same as the current)</w:t>
            </w:r>
          </w:p>
        </w:tc>
      </w:tr>
    </w:tbl>
    <w:p w:rsidR="00BF4716" w:rsidRDefault="00BF4716">
      <w:pPr>
        <w:pStyle w:val="GEN1"/>
      </w:pPr>
    </w:p>
    <w:p w:rsidR="00BF4716" w:rsidRDefault="00BF4716">
      <w:pPr>
        <w:pStyle w:val="a3"/>
        <w:spacing w:line="396" w:lineRule="auto"/>
        <w:rPr>
          <w:rFonts w:ascii="HCI Poppy" w:eastAsia="휴먼명조"/>
          <w:spacing w:val="-7"/>
          <w:sz w:val="30"/>
        </w:rPr>
      </w:pPr>
    </w:p>
    <w:sectPr w:rsidR="00BF4716">
      <w:endnotePr>
        <w:numFmt w:val="decimal"/>
      </w:endnotePr>
      <w:type w:val="continuous"/>
      <w:pgSz w:w="11906" w:h="16838"/>
      <w:pgMar w:top="1417" w:right="1134" w:bottom="1417" w:left="1134" w:header="850"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panose1 w:val="00000000000000000000"/>
    <w:charset w:val="81"/>
    <w:family w:val="roman"/>
    <w:notTrueType/>
    <w:pitch w:val="default"/>
  </w:font>
  <w:font w:name="산세리프">
    <w:panose1 w:val="00000000000000000000"/>
    <w:charset w:val="81"/>
    <w:family w:val="roman"/>
    <w:notTrueType/>
    <w:pitch w:val="default"/>
  </w:font>
  <w:font w:name="한양신명조">
    <w:altName w:val="바탕"/>
    <w:panose1 w:val="00000000000000000000"/>
    <w:charset w:val="81"/>
    <w:family w:val="roman"/>
    <w:notTrueType/>
    <w:pitch w:val="default"/>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한컴바탕">
    <w:panose1 w:val="00000000000000000000"/>
    <w:charset w:val="81"/>
    <w:family w:val="roman"/>
    <w:notTrueType/>
    <w:pitch w:val="default"/>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63"/>
    <w:multiLevelType w:val="multilevel"/>
    <w:tmpl w:val="77FECA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38A76F8"/>
    <w:multiLevelType w:val="multilevel"/>
    <w:tmpl w:val="B7527E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CCD1299"/>
    <w:multiLevelType w:val="multilevel"/>
    <w:tmpl w:val="57E8B70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D0E1E21"/>
    <w:multiLevelType w:val="multilevel"/>
    <w:tmpl w:val="03288F1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21E53B7"/>
    <w:multiLevelType w:val="multilevel"/>
    <w:tmpl w:val="B18825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61DD2568"/>
    <w:multiLevelType w:val="multilevel"/>
    <w:tmpl w:val="780A82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75168D9"/>
    <w:multiLevelType w:val="multilevel"/>
    <w:tmpl w:val="0EAC1C3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716"/>
    <w:rsid w:val="005F011B"/>
    <w:rsid w:val="00726751"/>
    <w:rsid w:val="008038FD"/>
    <w:rsid w:val="00BF4716"/>
    <w:rsid w:val="00CB7C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D37"/>
  <w15:docId w15:val="{CBC2BF41-EFC0-48A9-A777-96393357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3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 w:eastAsia="굴림"/>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로마"/>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b/>
      <w:color w:val="000000"/>
      <w:sz w:val="48"/>
    </w:rPr>
  </w:style>
  <w:style w:type="paragraph" w:customStyle="1" w:styleId="16p">
    <w:name w:val="○개요(16p)"/>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84" w:lineRule="auto"/>
      <w:ind w:left="690" w:hanging="490"/>
      <w:textAlignment w:val="baseline"/>
    </w:pPr>
    <w:rPr>
      <w:rFonts w:ascii="HCI Poppy" w:eastAsia="휴먼명조"/>
      <w:color w:val="000000"/>
      <w:sz w:val="32"/>
    </w:rPr>
  </w:style>
  <w:style w:type="paragraph" w:customStyle="1" w:styleId="ab">
    <w:name w:val="선그리기"/>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xl71">
    <w:name w:val="xl7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xl73">
    <w:name w:val="xl73"/>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xl64">
    <w:name w:val="xl64"/>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left"/>
      <w:textAlignment w:val="baseline"/>
    </w:pPr>
    <w:rPr>
      <w:rFonts w:ascii="맑은 고딕" w:eastAsia="맑은 고딕"/>
      <w:color w:val="000000"/>
    </w:rPr>
  </w:style>
  <w:style w:type="paragraph" w:customStyle="1" w:styleId="xl63">
    <w:name w:val="xl6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ac">
    <w:name w:val="○"/>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00" w:after="0" w:line="384" w:lineRule="auto"/>
      <w:ind w:left="645" w:hanging="645"/>
      <w:textAlignment w:val="baseline"/>
    </w:pPr>
    <w:rPr>
      <w:rFonts w:ascii="한양신명조" w:eastAsia="한양신명조"/>
      <w:color w:val="000000"/>
      <w:sz w:val="32"/>
    </w:rPr>
  </w:style>
  <w:style w:type="paragraph" w:customStyle="1" w:styleId="xl36">
    <w:name w:val="xl36"/>
    <w:uiPriority w:val="23"/>
    <w:pPr>
      <w:widowControl w:val="0"/>
      <w:pBdr>
        <w:top w:val="none" w:sz="2" w:space="0" w:color="000000"/>
        <w:left w:val="none" w:sz="2" w:space="0" w:color="000000"/>
        <w:bottom w:val="none" w:sz="2" w:space="0" w:color="000000"/>
        <w:right w:val="none" w:sz="2" w:space="0" w:color="000000"/>
      </w:pBdr>
      <w:autoSpaceDE w:val="0"/>
      <w:autoSpaceDN w:val="0"/>
      <w:snapToGrid w:val="0"/>
      <w:spacing w:before="100" w:after="100" w:line="360" w:lineRule="auto"/>
      <w:jc w:val="center"/>
      <w:textAlignment w:val="baseline"/>
    </w:pPr>
    <w:rPr>
      <w:rFonts w:ascii="Courier New" w:eastAsia="바탕"/>
      <w:color w:val="000000"/>
      <w:sz w:val="24"/>
    </w:rPr>
  </w:style>
  <w:style w:type="paragraph" w:customStyle="1" w:styleId="ad">
    <w:name w:val="동그라미"/>
    <w:uiPriority w:val="24"/>
    <w:pPr>
      <w:widowControl w:val="0"/>
      <w:pBdr>
        <w:top w:val="none" w:sz="2" w:space="0" w:color="000000"/>
        <w:left w:val="none" w:sz="2" w:space="0" w:color="000000"/>
        <w:bottom w:val="none" w:sz="2" w:space="0" w:color="000000"/>
        <w:right w:val="none" w:sz="2" w:space="0" w:color="000000"/>
      </w:pBdr>
      <w:tabs>
        <w:tab w:val="left" w:pos="264"/>
        <w:tab w:val="left" w:pos="552"/>
        <w:tab w:val="left" w:pos="840"/>
        <w:tab w:val="left" w:pos="1116"/>
        <w:tab w:val="left" w:pos="1404"/>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before="200" w:after="0" w:line="396" w:lineRule="auto"/>
      <w:ind w:left="672" w:hanging="672"/>
      <w:textAlignment w:val="baseline"/>
    </w:pPr>
    <w:rPr>
      <w:rFonts w:ascii="한양신명조" w:eastAsia="한양신명조"/>
      <w:color w:val="000000"/>
      <w:sz w:val="32"/>
    </w:rPr>
  </w:style>
  <w:style w:type="paragraph" w:customStyle="1" w:styleId="10">
    <w:name w:val="바탕글 사본1"/>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xl66">
    <w:name w:val="xl66"/>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HY중고딕" w:eastAsia="HY중고딕"/>
      <w:color w:val="000000"/>
      <w:sz w:val="24"/>
    </w:rPr>
  </w:style>
  <w:style w:type="paragraph" w:customStyle="1" w:styleId="xl83">
    <w:name w:val="xl83"/>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77">
    <w:name w:val="xl77"/>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right"/>
      <w:textAlignment w:val="baseline"/>
    </w:pPr>
    <w:rPr>
      <w:rFonts w:ascii="Arial Narrow" w:eastAsia="한컴바탕"/>
      <w:color w:val="000000"/>
      <w:sz w:val="18"/>
    </w:rPr>
  </w:style>
  <w:style w:type="paragraph" w:customStyle="1" w:styleId="xl84">
    <w:name w:val="xl84"/>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5">
    <w:name w:val="xl65"/>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8"/>
    </w:rPr>
  </w:style>
  <w:style w:type="paragraph" w:customStyle="1" w:styleId="xl88">
    <w:name w:val="xl88"/>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MS">
    <w:name w:val="MS바탕글"/>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3" w:lineRule="auto"/>
      <w:textAlignment w:val="baseline"/>
    </w:pPr>
    <w:rPr>
      <w:rFonts w:ascii="맑은 고딕" w:eastAsia="맑은 고딕"/>
      <w:color w:val="000000"/>
    </w:rPr>
  </w:style>
  <w:style w:type="paragraph" w:customStyle="1" w:styleId="xl72">
    <w:name w:val="xl72"/>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8"/>
    </w:rPr>
  </w:style>
  <w:style w:type="paragraph" w:customStyle="1" w:styleId="20">
    <w:name w:val="머리말 사본2"/>
    <w:uiPriority w:val="35"/>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character" w:customStyle="1" w:styleId="30">
    <w:name w:val="쪽 번호 사본3"/>
    <w:uiPriority w:val="36"/>
    <w:rPr>
      <w:rFonts w:ascii="함초롬돋움" w:eastAsia="함초롬돋움"/>
      <w:color w:val="000000"/>
      <w:sz w:val="20"/>
      <w:shd w:val="clear" w:color="000000" w:fill="auto"/>
    </w:rPr>
  </w:style>
  <w:style w:type="paragraph" w:customStyle="1" w:styleId="21">
    <w:name w:val="바탕글 사본2"/>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552" w:lineRule="auto"/>
      <w:textAlignment w:val="baseline"/>
    </w:pPr>
    <w:rPr>
      <w:rFonts w:ascii="한양신명조" w:eastAsia="한양신명조"/>
      <w:color w:val="000000"/>
      <w:sz w:val="28"/>
      <w:shd w:val="clear" w:color="000000" w:fill="auto"/>
    </w:rPr>
  </w:style>
  <w:style w:type="paragraph" w:customStyle="1" w:styleId="40">
    <w:name w:val="바탕글 사본4"/>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sz w:val="30"/>
      <w:shd w:val="clear" w:color="000000" w:fill="auto"/>
    </w:rPr>
  </w:style>
  <w:style w:type="paragraph" w:customStyle="1" w:styleId="GEN">
    <w:name w:val="기본GEN"/>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8"/>
    </w:rPr>
  </w:style>
  <w:style w:type="paragraph" w:customStyle="1" w:styleId="GEN0">
    <w:name w:val="대비표GEN"/>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한양신명조" w:eastAsia="한양신명조"/>
      <w:color w:val="000000"/>
      <w:sz w:val="28"/>
    </w:rPr>
  </w:style>
  <w:style w:type="paragraph" w:customStyle="1" w:styleId="ae">
    <w:name w:val="법령기본스타일"/>
    <w:uiPriority w:val="4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양신명조" w:eastAsia="한양신명조"/>
      <w:color w:val="000000"/>
      <w:sz w:val="28"/>
    </w:rPr>
  </w:style>
  <w:style w:type="paragraph" w:customStyle="1" w:styleId="af">
    <w:name w:val="항"/>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80" w:hanging="280"/>
      <w:textAlignment w:val="baseline"/>
    </w:pPr>
    <w:rPr>
      <w:rFonts w:ascii="한양신명조" w:eastAsia="한양신명조"/>
      <w:color w:val="000000"/>
      <w:sz w:val="28"/>
    </w:rPr>
  </w:style>
  <w:style w:type="paragraph" w:customStyle="1" w:styleId="af0">
    <w:name w:val="조"/>
    <w:uiPriority w:val="4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80" w:hanging="280"/>
      <w:textAlignment w:val="baseline"/>
    </w:pPr>
    <w:rPr>
      <w:rFonts w:ascii="한양신명조" w:eastAsia="한양신명조"/>
      <w:color w:val="000000"/>
      <w:sz w:val="28"/>
    </w:rPr>
  </w:style>
  <w:style w:type="paragraph" w:customStyle="1" w:styleId="GEN1">
    <w:name w:val="소제목GEN"/>
    <w:uiPriority w:val="44"/>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 w:type="paragraph" w:customStyle="1" w:styleId="af1">
    <w:name w:val="조_표"/>
    <w:uiPriority w:val="4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1093</Words>
  <Characters>6235</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교과부</dc:creator>
  <cp:lastModifiedBy>user</cp:lastModifiedBy>
  <cp:revision>5</cp:revision>
  <dcterms:created xsi:type="dcterms:W3CDTF">2011-03-20T01:45:00Z</dcterms:created>
  <dcterms:modified xsi:type="dcterms:W3CDTF">2022-03-16T04:19:00Z</dcterms:modified>
</cp:coreProperties>
</file>