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F945A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</w:t>
      </w: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April </w:t>
      </w:r>
      <w:r w:rsidR="00F945A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20, 2022</w:t>
      </w:r>
    </w:p>
    <w:p w:rsidR="00914739" w:rsidRDefault="0091473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</w:p>
    <w:p w:rsidR="00914739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Default="00A506F5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Consumer Policy</w:t>
      </w:r>
      <w:r w:rsidR="002B4799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="00E35A0D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Coordination </w:t>
      </w:r>
      <w:r w:rsidR="002B4799">
        <w:rPr>
          <w:rFonts w:ascii="Times New Roman" w:eastAsia="HY헤드라인M" w:hAnsi="Times New Roman" w:cs="Times New Roman"/>
          <w:color w:val="000000"/>
          <w:kern w:val="0"/>
          <w:szCs w:val="24"/>
        </w:rPr>
        <w:t>Division (02-2110-15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30</w:t>
      </w:r>
      <w:r w:rsidR="002B4799">
        <w:rPr>
          <w:rFonts w:ascii="Times New Roman" w:eastAsia="HY헤드라인M" w:hAnsi="Times New Roman" w:cs="Times New Roman"/>
          <w:color w:val="000000"/>
          <w:kern w:val="0"/>
          <w:szCs w:val="24"/>
        </w:rPr>
        <w:t>, 15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14</w:t>
      </w:r>
      <w:r w:rsidR="002B4799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914739" w:rsidRDefault="00914739">
      <w:pPr>
        <w:wordWrap/>
        <w:snapToGrid w:val="0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</w:p>
    <w:p w:rsidR="00914739" w:rsidRDefault="00A506F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KCC ORDERS </w:t>
      </w:r>
      <w:r w:rsidR="00B530F8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DATA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RESUBMISSION FOR FACT-FINDING </w:t>
      </w:r>
      <w:r w:rsidR="000912F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INVESTIGATION</w:t>
      </w:r>
      <w:r w:rsidR="00C25F98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AND CHARGE FOR COMPELLING COMPLIANCE</w:t>
      </w:r>
    </w:p>
    <w:p w:rsidR="00914739" w:rsidRDefault="002B4799" w:rsidP="00A506F5">
      <w:pPr>
        <w:snapToGrid w:val="0"/>
        <w:spacing w:after="0" w:line="312" w:lineRule="auto"/>
        <w:ind w:left="466" w:hanging="466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 w:rsidR="00A776D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A</w:t>
      </w:r>
      <w:r w:rsidR="00A506F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dministrative fine</w:t>
      </w:r>
      <w:r w:rsidR="00A776D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increase</w:t>
      </w:r>
      <w:r w:rsidR="00A506F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if operators such as large </w:t>
      </w:r>
      <w:r w:rsidR="00E35A0D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corporations</w:t>
      </w:r>
      <w:r w:rsidR="00A506F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refuse or evade fact-finding </w:t>
      </w:r>
      <w:r w:rsidR="000912F7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investigation</w:t>
      </w:r>
      <w:r w:rsidR="00A506F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-</w:t>
      </w:r>
    </w:p>
    <w:p w:rsidR="00914739" w:rsidRPr="00A506F5" w:rsidRDefault="00914739">
      <w:pPr>
        <w:pStyle w:val="a4"/>
        <w:spacing w:line="408" w:lineRule="auto"/>
        <w:rPr>
          <w:rFonts w:ascii="Times New Roman"/>
          <w:sz w:val="24"/>
          <w:szCs w:val="24"/>
        </w:rPr>
      </w:pPr>
    </w:p>
    <w:p w:rsidR="00A506F5" w:rsidRPr="00A506F5" w:rsidRDefault="00A506F5" w:rsidP="00A506F5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Starting today, the Korea Communications Commission (KCC, Chairman Han </w:t>
      </w:r>
      <w:proofErr w:type="spellStart"/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Sang</w:t>
      </w:r>
      <w:proofErr w:type="spellEnd"/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hyuk</w:t>
      </w:r>
      <w:proofErr w:type="spellEnd"/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) will implement a system to order resubmission of </w:t>
      </w:r>
      <w:r w:rsidR="00B530F8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data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and </w:t>
      </w:r>
      <w:r w:rsidR="00C25F98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articles (hereinafter “resubmission order”</w:t>
      </w:r>
      <w:r w:rsidR="00247ED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) </w:t>
      </w:r>
      <w:r w:rsidR="00C25F98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to determine violation of prohibited acts by telecommunications business operators. In the case the operator does not comply with the resubmission order, a charge for compelling compliance will also be implemented starting this day.</w:t>
      </w:r>
    </w:p>
    <w:p w:rsidR="00A506F5" w:rsidRPr="00A506F5" w:rsidRDefault="00A506F5" w:rsidP="00A506F5">
      <w:pPr>
        <w:spacing w:after="0" w:line="384" w:lineRule="auto"/>
        <w:ind w:left="254" w:hanging="254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</w:pPr>
    </w:p>
    <w:p w:rsidR="00C25F98" w:rsidRPr="00A506F5" w:rsidRDefault="00C25F98" w:rsidP="00A506F5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spacing w:val="4"/>
          <w:kern w:val="0"/>
          <w:sz w:val="24"/>
          <w:szCs w:val="24"/>
        </w:rPr>
        <w:t xml:space="preserve">This is a follow-up action to </w:t>
      </w:r>
      <w:r w:rsidR="003847FE">
        <w:rPr>
          <w:rFonts w:ascii="Times New Roman" w:eastAsia="바탕체" w:hAnsi="Times New Roman" w:cs="Times New Roman"/>
          <w:color w:val="000000"/>
          <w:spacing w:val="4"/>
          <w:kern w:val="0"/>
          <w:sz w:val="24"/>
          <w:szCs w:val="24"/>
        </w:rPr>
        <w:t>the amended Telecommunications Business Act (promulgation on October 19, 2021) and the Enforcement Decree of the sam</w:t>
      </w:r>
      <w:r w:rsidR="00247EDB">
        <w:rPr>
          <w:rFonts w:ascii="Times New Roman" w:eastAsia="바탕체" w:hAnsi="Times New Roman" w:cs="Times New Roman"/>
          <w:color w:val="000000"/>
          <w:spacing w:val="4"/>
          <w:kern w:val="0"/>
          <w:sz w:val="24"/>
          <w:szCs w:val="24"/>
        </w:rPr>
        <w:t>e a</w:t>
      </w:r>
      <w:r w:rsidR="003847FE">
        <w:rPr>
          <w:rFonts w:ascii="Times New Roman" w:eastAsia="바탕체" w:hAnsi="Times New Roman" w:cs="Times New Roman"/>
          <w:color w:val="000000"/>
          <w:spacing w:val="4"/>
          <w:kern w:val="0"/>
          <w:sz w:val="24"/>
          <w:szCs w:val="24"/>
        </w:rPr>
        <w:t>ct; the key points of this action are as follows.</w:t>
      </w:r>
    </w:p>
    <w:p w:rsidR="00A506F5" w:rsidRPr="00A506F5" w:rsidRDefault="00A506F5" w:rsidP="00A506F5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</w:rPr>
      </w:pPr>
    </w:p>
    <w:p w:rsidR="00A506F5" w:rsidRPr="00A506F5" w:rsidRDefault="00377835" w:rsidP="00B530F8">
      <w:pPr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3778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First, if a telecommunications business operator fails to comply with an order to submit data or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articles</w:t>
      </w:r>
      <w:r w:rsidRPr="003778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related to the fact-finding invest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igation of prohibited acts, the KCC may issue a re</w:t>
      </w:r>
      <w:r w:rsidRPr="003778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submission order. If a business operator does not comply with the resubmission order, the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</w:t>
      </w:r>
      <w:r w:rsidRPr="003778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may impose and collect a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charge for compelling compliance</w:t>
      </w:r>
      <w:r w:rsidRPr="003778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based on the busines</w:t>
      </w:r>
      <w:r w:rsidR="00365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 operator's ‘average daily sales’</w:t>
      </w:r>
      <w:r w:rsidRPr="003778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It</w:t>
      </w:r>
      <w:r w:rsidR="00365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 expected this will be effective 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in securing data and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articles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as the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can calculate the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charge for compelling compliance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per day and impose it every 30 day</w:t>
      </w:r>
      <w:r w:rsidR="00B530F8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s until the business operator completes its 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submission of data 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and articles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(</w:t>
      </w:r>
      <w:r w:rsidR="00B530F8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Article 51-</w:t>
      </w:r>
      <w:r w:rsidR="00B530F8"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 the 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Telecommunication Business Act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Article 43 of the Enforcement Decree of the Telecommun</w:t>
      </w:r>
      <w:r w:rsidR="003657DD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ications Business Act and [Attached Table</w:t>
      </w:r>
      <w:r w:rsidRPr="00377835"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 xml:space="preserve"> 4-2] newly established)</w:t>
      </w:r>
      <w:r w:rsid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A506F5" w:rsidRPr="00A506F5" w:rsidRDefault="00A506F5" w:rsidP="00A506F5">
      <w:pPr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B530F8" w:rsidRPr="00A506F5" w:rsidRDefault="00B530F8" w:rsidP="00A506F5">
      <w:pPr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Second, the amount of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charge</w:t>
      </w: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imposed on large </w:t>
      </w:r>
      <w:r w:rsid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corporation</w:t>
      </w: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etc. will be increased if they refuse or avoid </w:t>
      </w:r>
      <w:r w:rsidR="00365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submission or temporary storage of data or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articles</w:t>
      </w: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necessary for 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fact-finding </w:t>
      </w: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 prohibited acts. Until now</w:t>
      </w: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a fine of up to 10 million won was imposed regardle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ss of the size of the company. However, moving forward a</w:t>
      </w:r>
      <w:r w:rsid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fine of 50 million won will be</w:t>
      </w:r>
      <w:r w:rsidRPr="00B53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imposed on a large corporation, an affiliate of a large corporation, or a person entrusted with performing the business.</w:t>
      </w:r>
      <w:r w:rsidR="00365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(Enforcement Decree of the Telecommunications Business Act [Attached Table</w:t>
      </w:r>
      <w:r w:rsidR="00D155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11] amended).</w:t>
      </w:r>
      <w:bookmarkStart w:id="1" w:name="_GoBack"/>
      <w:bookmarkEnd w:id="1"/>
    </w:p>
    <w:p w:rsidR="00A506F5" w:rsidRPr="00A506F5" w:rsidRDefault="00A506F5" w:rsidP="00A506F5">
      <w:pPr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FA5769" w:rsidRDefault="003657DD" w:rsidP="00A506F5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Chairman Han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Sang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hyuk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commented</w:t>
      </w:r>
      <w:r w:rsidR="00FA5769" w:rsidRP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“Through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this reform</w:t>
      </w:r>
      <w:r w:rsidR="00FA5769" w:rsidRP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we have been able to enhance the enforcement </w:t>
      </w:r>
      <w:r w:rsid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capability</w:t>
      </w:r>
      <w:r w:rsidR="00FA5769" w:rsidRP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 fact-finding and securing data on prohibited acts.” </w:t>
      </w:r>
      <w:r w:rsid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He emphasized, “We will strive</w:t>
      </w:r>
      <w:r w:rsidR="00FA5769" w:rsidRP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to protect users through a thorough fact-finding investigation into whether or not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</w:t>
      </w:r>
      <w:r w:rsidR="00FA5769" w:rsidRP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telecommunications business operator </w:t>
      </w:r>
      <w:r w:rsidR="00FA5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has committed prohibited acts.” </w:t>
      </w:r>
    </w:p>
    <w:p w:rsidR="003657DD" w:rsidRPr="00A506F5" w:rsidRDefault="003657DD" w:rsidP="00A506F5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14739" w:rsidRDefault="002B4799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</w:t>
      </w: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</w:t>
      </w:r>
    </w:p>
    <w:p w:rsidR="00914739" w:rsidRDefault="002B4799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p w:rsidR="00914739" w:rsidRDefault="00914739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4"/>
          <w:szCs w:val="4"/>
        </w:rPr>
      </w:pPr>
    </w:p>
    <w:sectPr w:rsidR="0091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charset w:val="81"/>
    <w:family w:val="roman"/>
    <w:pitch w:val="default"/>
    <w:sig w:usb0="FFFFFFFF" w:usb1="FFFFFFFF" w:usb2="00FFFFFF" w:usb3="00000001" w:csb0="863F01FF" w:csb1="0000FFFF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pitch w:val="default"/>
    <w:sig w:usb0="7FFFFFFF" w:usb1="11D77CFB" w:usb2="00000010" w:usb3="00000001" w:csb0="00080000" w:csb1="000000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912F7"/>
    <w:rsid w:val="00247EDB"/>
    <w:rsid w:val="002B4799"/>
    <w:rsid w:val="003657DD"/>
    <w:rsid w:val="00377835"/>
    <w:rsid w:val="003847FE"/>
    <w:rsid w:val="006C1531"/>
    <w:rsid w:val="006D6E0C"/>
    <w:rsid w:val="00914739"/>
    <w:rsid w:val="00A506F5"/>
    <w:rsid w:val="00A776DF"/>
    <w:rsid w:val="00B530F8"/>
    <w:rsid w:val="00C25F98"/>
    <w:rsid w:val="00D15590"/>
    <w:rsid w:val="00E35A0D"/>
    <w:rsid w:val="00F945A0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D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2022-04-21T19:50:00Z</dcterms:created>
  <dcterms:modified xsi:type="dcterms:W3CDTF">2022-04-21T19:50:00Z</dcterms:modified>
  <cp:version>1100.0100.01</cp:version>
</cp:coreProperties>
</file>