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0" w:rsidRDefault="00A313B8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70" w:rsidRDefault="00A313B8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B34970" w:rsidRDefault="00A313B8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Tuesday, April 5, 2022</w:t>
      </w:r>
    </w:p>
    <w:p w:rsidR="00B34970" w:rsidRDefault="00B34970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</w:p>
    <w:p w:rsidR="00B34970" w:rsidRDefault="00A313B8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B34970" w:rsidRDefault="00A313B8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Telecommunications Market Investigation Division (02-2110-153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1, 1533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34970" w:rsidRDefault="00B34970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0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</w:pPr>
    </w:p>
    <w:p w:rsidR="00B34970" w:rsidRDefault="00A313B8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헤드라인M" w:hAnsi="Times New Roman" w:cs="Times New Roman"/>
          <w:b/>
          <w:bCs/>
          <w:color w:val="000000"/>
          <w:kern w:val="0"/>
          <w:sz w:val="38"/>
          <w:szCs w:val="38"/>
        </w:rPr>
        <w:t xml:space="preserve">KCC </w:t>
      </w:r>
      <w:r>
        <w:rPr>
          <w:rFonts w:ascii="Times New Roman" w:eastAsia="HY헤드라인M" w:hAnsi="Times New Roman" w:cs="Times New Roman"/>
          <w:b/>
          <w:bCs/>
          <w:color w:val="000000"/>
          <w:kern w:val="0"/>
          <w:sz w:val="38"/>
          <w:szCs w:val="38"/>
        </w:rPr>
        <w:t>DRAWS UP COMPREHENSIVE ACTION PLANS, INCLUDING STATUS CHECKS ON RESTRICTED ACTS FOR OUTLINKS</w:t>
      </w:r>
    </w:p>
    <w:p w:rsidR="00B34970" w:rsidRDefault="00A313B8">
      <w:pPr>
        <w:snapToGrid w:val="0"/>
        <w:spacing w:after="0" w:line="312" w:lineRule="auto"/>
        <w:ind w:left="466" w:hanging="466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Cambria Math" w:eastAsia="MS Gothic" w:hAnsi="Cambria Math" w:cs="Cambria Math"/>
          <w:color w:val="000000"/>
          <w:kern w:val="0"/>
          <w:sz w:val="24"/>
          <w:szCs w:val="24"/>
        </w:rPr>
        <w:t>▸</w:t>
      </w:r>
      <w:r>
        <w:rPr>
          <w:rFonts w:ascii="Times New Roman" w:eastAsia="HY헤드라인M" w:hAnsi="Times New Roman" w:cs="Times New Roman"/>
          <w:color w:val="000000"/>
          <w:spacing w:val="-4"/>
          <w:kern w:val="0"/>
          <w:sz w:val="24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spacing w:val="-4"/>
          <w:kern w:val="0"/>
          <w:sz w:val="24"/>
          <w:szCs w:val="24"/>
        </w:rPr>
        <w:t xml:space="preserve">When a violation is confirmed, </w:t>
      </w:r>
      <w:r>
        <w:rPr>
          <w:rFonts w:ascii="Times New Roman" w:eastAsia="HY헤드라인M" w:hAnsi="Times New Roman" w:cs="Times New Roman"/>
          <w:color w:val="000000"/>
          <w:spacing w:val="-4"/>
          <w:kern w:val="0"/>
          <w:sz w:val="24"/>
          <w:szCs w:val="24"/>
        </w:rPr>
        <w:t>the KCC will undergo fact-finding in parallel with measures such as opening a report center, relief support group and meeting with businesses</w:t>
      </w:r>
    </w:p>
    <w:p w:rsidR="00B34970" w:rsidRDefault="00A313B8">
      <w:pPr>
        <w:snapToGrid w:val="0"/>
        <w:spacing w:after="0" w:line="312" w:lineRule="auto"/>
        <w:ind w:left="468" w:hanging="468"/>
        <w:textAlignment w:val="baseline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Cambria Math" w:eastAsia="MS Gothic" w:hAnsi="Cambria Math" w:cs="Cambria Math"/>
          <w:color w:val="000000"/>
          <w:spacing w:val="-16"/>
          <w:kern w:val="0"/>
          <w:sz w:val="24"/>
          <w:szCs w:val="24"/>
        </w:rPr>
        <w:t>▸</w:t>
      </w:r>
      <w:r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  <w:t>It was determined that the act of restricting outlinks to app payments is also a violation of the law</w:t>
      </w:r>
    </w:p>
    <w:p w:rsidR="00B34970" w:rsidRDefault="00B34970">
      <w:pPr>
        <w:snapToGrid w:val="0"/>
        <w:spacing w:after="0" w:line="312" w:lineRule="auto"/>
        <w:ind w:left="468" w:hanging="468"/>
        <w:textAlignment w:val="baseline"/>
        <w:rPr>
          <w:rFonts w:ascii="Times New Roman" w:eastAsia="Times New Roman" w:hAnsi="Times New Roman" w:cs="Times New Roman"/>
          <w:color w:val="000000"/>
          <w:spacing w:val="-10"/>
          <w:kern w:val="0"/>
          <w:sz w:val="10"/>
          <w:szCs w:val="10"/>
        </w:rPr>
      </w:pPr>
    </w:p>
    <w:p w:rsidR="00B34970" w:rsidRDefault="00B34970">
      <w:pPr>
        <w:snapToGrid w:val="0"/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B34970" w:rsidRDefault="00A313B8">
      <w:pPr>
        <w:snapToGrid w:val="0"/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Korea Communications Commission (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KCC, 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hairman Han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Sang-hyuk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prepare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comprehensive measures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taking into account characteristics of app market business operators and developers and users to effectively enforce the Telecommunications Business Act. 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introduces obligations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app market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business operators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 such as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prohibiting forcing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specific payment methods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. The KCC also disclosed its judgement on restricting outlinks for web payments.</w:t>
      </w:r>
    </w:p>
    <w:p w:rsidR="00B34970" w:rsidRDefault="00B34970">
      <w:pPr>
        <w:snapToGrid w:val="0"/>
        <w:spacing w:after="0" w:line="408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B34970" w:rsidRDefault="00A313B8">
      <w:pPr>
        <w:snapToGrid w:val="0"/>
        <w:spacing w:after="0" w:line="40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###</w:t>
      </w:r>
    </w:p>
    <w:p w:rsidR="00B34970" w:rsidRDefault="00A313B8">
      <w:pPr>
        <w:snapToGrid w:val="0"/>
        <w:spacing w:after="0" w:line="40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4"/>
          <w:szCs w:val="4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4"/>
        </w:rPr>
        <w:t>The Korea Communications Commission</w:t>
      </w:r>
    </w:p>
    <w:sectPr w:rsidR="00B3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Courier New">
    <w:panose1 w:val="02070309020205020404"/>
    <w:charset w:val="00"/>
    <w:family w:val="modern"/>
    <w:pitch w:val="default"/>
    <w:sig w:usb0="E0002EFF" w:usb1="C0007843" w:usb2="00000009" w:usb3="00000001" w:csb0="400001FF" w:csb1="FFFF0000"/>
  </w:font>
  <w:font w:name="HY헤드라인M">
    <w:panose1 w:val="02030600000101010101"/>
    <w:charset w:val="81"/>
    <w:family w:val="roman"/>
    <w:pitch w:val="default"/>
    <w:sig w:usb0="900002A7" w:usb1="01D77CFB" w:usb2="00000010" w:usb3="00000001" w:csb0="00080001" w:csb1="00000001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1" w:csb0="4002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0"/>
    <w:rsid w:val="00A313B8"/>
    <w:rsid w:val="00B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2022-04-05T08:34:00Z</dcterms:created>
  <dcterms:modified xsi:type="dcterms:W3CDTF">2022-04-05T08:34:00Z</dcterms:modified>
  <cp:version>1100.0100.01</cp:version>
</cp:coreProperties>
</file>